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END TERM 3 2026</w:t>
      </w:r>
    </w:p>
    <w:p>
      <w:pPr>
        <w:jc w:val="center"/>
      </w:pPr>
      <w:r>
        <w:rPr>
          <w:b/>
          <w:sz w:val="28"/>
        </w:rPr>
        <w:t>GRADE 10</w:t>
      </w:r>
    </w:p>
    <w:p>
      <w:pPr>
        <w:jc w:val="center"/>
      </w:pPr>
      <w:r>
        <w:rPr>
          <w:b/>
          <w:sz w:val="30"/>
        </w:rPr>
        <w:t>HINDU RELIGIOUS EDUCATION</w:t>
      </w:r>
    </w:p>
    <w:p>
      <w:pPr>
        <w:jc w:val="center"/>
      </w:pPr>
      <w:r>
        <w:rPr>
          <w:b/>
          <w:sz w:val="24"/>
        </w:rPr>
        <w:t>QUESTION PAPER</w:t>
      </w:r>
    </w:p>
    <w:p>
      <w:pPr>
        <w:jc w:val="center"/>
      </w:pPr>
      <w:r>
        <w:rPr>
          <w:b/>
        </w:rPr>
        <w:t>TIME: 2 HOURS 30 MINUTES    |    TOTAL MARKS: 100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184"/>
        <w:gridCol w:w="5184"/>
      </w:tblGrid>
      <w:tr>
        <w:tc>
          <w:tcPr>
            <w:tcW w:type="dxa" w:w="5184"/>
          </w:tcPr>
          <w:p>
            <w:r/>
            <w:r>
              <w:rPr>
                <w:rFonts w:ascii="Times New Roman" w:hAnsi="Times New Roman"/>
                <w:b/>
                <w:sz w:val="20"/>
              </w:rPr>
              <w:t>Name</w:t>
            </w:r>
          </w:p>
        </w:tc>
        <w:tc>
          <w:tcPr>
            <w:tcW w:type="dxa" w:w="5184"/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</w:tcPr>
          <w:p>
            <w:r/>
            <w:r>
              <w:rPr>
                <w:rFonts w:ascii="Times New Roman" w:hAnsi="Times New Roman"/>
                <w:b/>
                <w:sz w:val="20"/>
              </w:rPr>
              <w:t>Assessment Number</w:t>
            </w:r>
          </w:p>
        </w:tc>
        <w:tc>
          <w:tcPr>
            <w:tcW w:type="dxa" w:w="5184"/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</w:tcPr>
          <w:p>
            <w:r/>
            <w:r>
              <w:rPr>
                <w:rFonts w:ascii="Times New Roman" w:hAnsi="Times New Roman"/>
                <w:b/>
                <w:sz w:val="20"/>
              </w:rPr>
              <w:t>Class / Stream</w:t>
            </w:r>
          </w:p>
        </w:tc>
        <w:tc>
          <w:tcPr>
            <w:tcW w:type="dxa" w:w="5184"/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</w:tcPr>
          <w:p>
            <w:r/>
            <w:r>
              <w:rPr>
                <w:rFonts w:ascii="Times New Roman" w:hAnsi="Times New Roman"/>
                <w:b/>
                <w:sz w:val="20"/>
              </w:rPr>
              <w:t>Date</w:t>
            </w:r>
          </w:p>
        </w:tc>
        <w:tc>
          <w:tcPr>
            <w:tcW w:type="dxa" w:w="5184"/>
          </w:tcPr>
          <w:p>
            <w:r/>
            <w:r>
              <w:rPr>
                <w:rFonts w:ascii="Times New Roman" w:hAnsi="Times New Roman"/>
                <w:b w:val="0"/>
                <w:sz w:val="20"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r>
        <w:rPr>
          <w:b/>
          <w:sz w:val="24"/>
        </w:rPr>
        <w:t>INSTRUCTIONS</w:t>
      </w:r>
    </w:p>
    <w:p>
      <w:r>
        <w:t>• Answer all questions.</w:t>
      </w:r>
    </w:p>
    <w:p>
      <w:r>
        <w:t>• This is a cumulative Grade 10 assessment covering all four strands and sub-strands in the attached Curriculum Design.</w:t>
      </w:r>
    </w:p>
    <w:p>
      <w:r>
        <w:t>• Give clear, well-developed responses.</w:t>
      </w:r>
    </w:p>
    <w:p>
      <w:r>
        <w:rPr>
          <w:b/>
          <w:sz w:val="24"/>
        </w:rPr>
        <w:t>SECTION A — SHORT ANSWER</w:t>
      </w:r>
    </w:p>
    <w:p>
      <w:r>
        <w:rPr>
          <w:b/>
        </w:rPr>
        <w:t xml:space="preserve">1. </w:t>
      </w:r>
      <w:r>
        <w:t>State two reasons why the study of the Manifestation of Paramatma is important in understanding life.</w:t>
      </w:r>
      <w:r>
        <w:rPr>
          <w:b/>
        </w:rPr>
        <w:t xml:space="preserve"> (2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</w:rPr>
        <w:t xml:space="preserve">2. </w:t>
      </w:r>
      <w:r>
        <w:t>Name the four selected Tirthankaras studied in the curriculum.</w:t>
      </w:r>
      <w:r>
        <w:rPr>
          <w:b/>
        </w:rPr>
        <w:t xml:space="preserve"> (4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</w:rPr>
        <w:t xml:space="preserve">3. </w:t>
      </w:r>
      <w:r>
        <w:t>State two teachings associated with Buddhist Views as presented in the curriculum.</w:t>
      </w:r>
      <w:r>
        <w:rPr>
          <w:b/>
        </w:rPr>
        <w:t xml:space="preserve"> (2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</w:rPr>
        <w:t xml:space="preserve">4. </w:t>
      </w:r>
      <w:r>
        <w:t>State two contributions of Guru’s Grace to social welfare.</w:t>
      </w:r>
      <w:r>
        <w:rPr>
          <w:b/>
        </w:rPr>
        <w:t xml:space="preserve"> (2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</w:rPr>
        <w:t xml:space="preserve">5. </w:t>
      </w:r>
      <w:r>
        <w:t>Name two Scriptures from the four faiths studied in the curriculum.</w:t>
      </w:r>
      <w:r>
        <w:rPr>
          <w:b/>
        </w:rPr>
        <w:t xml:space="preserve"> (2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</w:rPr>
        <w:t xml:space="preserve">6. </w:t>
      </w:r>
      <w:r>
        <w:t>State two ways ethical and moral teachings can contribute to social harmony.</w:t>
      </w:r>
      <w:r>
        <w:rPr>
          <w:b/>
        </w:rPr>
        <w:t xml:space="preserve"> (2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</w:rPr>
        <w:t xml:space="preserve">7. </w:t>
      </w:r>
      <w:r>
        <w:t>State two fundamental principles of Dharma taught in the four faiths.</w:t>
      </w:r>
      <w:r>
        <w:rPr>
          <w:b/>
        </w:rPr>
        <w:t xml:space="preserve"> (2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</w:rPr>
        <w:t xml:space="preserve">8. </w:t>
      </w:r>
      <w:r>
        <w:t>State two major types of Karma identified in the curriculum.</w:t>
      </w:r>
      <w:r>
        <w:rPr>
          <w:b/>
        </w:rPr>
        <w:t xml:space="preserve"> (2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</w:rPr>
        <w:t xml:space="preserve">9. </w:t>
      </w:r>
      <w:r>
        <w:t>Name two forms of vocal music studied under Cultural Practices.</w:t>
      </w:r>
      <w:r>
        <w:rPr>
          <w:b/>
        </w:rPr>
        <w:t xml:space="preserve"> (2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</w:rPr>
        <w:t xml:space="preserve">10. </w:t>
      </w:r>
      <w:r>
        <w:t>Name two musical instruments identified in the curriculum.</w:t>
      </w:r>
      <w:r>
        <w:rPr>
          <w:b/>
        </w:rPr>
        <w:t xml:space="preserve"> (2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  <w:sz w:val="24"/>
        </w:rPr>
        <w:t>SECTION B — STRUCTURED AND APPLICATION QUESTIONS</w:t>
      </w:r>
    </w:p>
    <w:p>
      <w:r>
        <w:rPr>
          <w:b/>
        </w:rPr>
        <w:t xml:space="preserve">11. </w:t>
      </w:r>
      <w:r>
        <w:t>Manifestation of Paramatma</w:t>
      </w:r>
    </w:p>
    <w:p>
      <w:pPr>
        <w:ind w:left="259"/>
      </w:pPr>
      <w:r>
        <w:rPr>
          <w:b/>
        </w:rPr>
        <w:t xml:space="preserve">(a) </w:t>
      </w:r>
      <w:r>
        <w:t>Explain three lessons that learners can derive from the lives of the Dashavatars for self-development and communal welfare.</w:t>
      </w:r>
      <w:r>
        <w:rPr>
          <w:b/>
        </w:rPr>
        <w:t xml:space="preserve"> (6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ind w:left="259"/>
      </w:pPr>
      <w:r>
        <w:rPr>
          <w:b/>
        </w:rPr>
        <w:t xml:space="preserve">(b) </w:t>
      </w:r>
      <w:r>
        <w:t>Explain two ways the teachings of the Dashavatars can be applied in daily life.</w:t>
      </w:r>
      <w:r>
        <w:rPr>
          <w:b/>
        </w:rPr>
        <w:t xml:space="preserve"> (4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</w:rPr>
        <w:t xml:space="preserve">12. </w:t>
      </w:r>
      <w:r>
        <w:t>Tirthankaras and their contributions</w:t>
      </w:r>
    </w:p>
    <w:p>
      <w:pPr>
        <w:ind w:left="259"/>
      </w:pPr>
      <w:r>
        <w:rPr>
          <w:b/>
        </w:rPr>
        <w:t xml:space="preserve">(a) </w:t>
      </w:r>
      <w:r>
        <w:t>Explain three contributions or teachings associated with the selected Tirthankaras studied in Jainism.</w:t>
      </w:r>
      <w:r>
        <w:rPr>
          <w:b/>
        </w:rPr>
        <w:t xml:space="preserve"> (6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ind w:left="259"/>
      </w:pPr>
      <w:r>
        <w:rPr>
          <w:b/>
        </w:rPr>
        <w:t xml:space="preserve">(b) </w:t>
      </w:r>
      <w:r>
        <w:t>Explain two ways the teachings of the Tirthankaras can promote harmonious living.</w:t>
      </w:r>
      <w:r>
        <w:rPr>
          <w:b/>
        </w:rPr>
        <w:t xml:space="preserve"> (4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</w:rPr>
        <w:t xml:space="preserve">13. </w:t>
      </w:r>
      <w:r>
        <w:t>Buddhist Views</w:t>
      </w:r>
    </w:p>
    <w:p>
      <w:pPr>
        <w:ind w:left="259"/>
      </w:pPr>
      <w:r>
        <w:rPr>
          <w:b/>
        </w:rPr>
        <w:t xml:space="preserve">(a) </w:t>
      </w:r>
      <w:r>
        <w:t>Explain three teachings associated with Buddhist Views and their relevance to contemporary society.</w:t>
      </w:r>
      <w:r>
        <w:rPr>
          <w:b/>
        </w:rPr>
        <w:t xml:space="preserve"> (6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ind w:left="259"/>
      </w:pPr>
      <w:r>
        <w:rPr>
          <w:b/>
        </w:rPr>
        <w:t xml:space="preserve">(b) </w:t>
      </w:r>
      <w:r>
        <w:t>Explain two ways Buddhist practices such as mindful breathing, meditation, chanting or reflection can support personal development.</w:t>
      </w:r>
      <w:r>
        <w:rPr>
          <w:b/>
        </w:rPr>
        <w:t xml:space="preserve"> (4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</w:rPr>
        <w:t xml:space="preserve">14. </w:t>
      </w:r>
      <w:r>
        <w:t>Guru’s Grace — Sikh faith</w:t>
      </w:r>
    </w:p>
    <w:p>
      <w:pPr>
        <w:ind w:left="259"/>
      </w:pPr>
      <w:r>
        <w:rPr>
          <w:b/>
        </w:rPr>
        <w:t xml:space="preserve">(a) </w:t>
      </w:r>
      <w:r>
        <w:t>Explain three teachings of Guru’s Grace that can promote social welfare.</w:t>
      </w:r>
      <w:r>
        <w:rPr>
          <w:b/>
        </w:rPr>
        <w:t xml:space="preserve"> (6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ind w:left="259"/>
      </w:pPr>
      <w:r>
        <w:rPr>
          <w:b/>
        </w:rPr>
        <w:t xml:space="preserve">(b) </w:t>
      </w:r>
      <w:r>
        <w:t>Explain two ways Guru’s teachings can promote environmental conservation or road safety.</w:t>
      </w:r>
      <w:r>
        <w:rPr>
          <w:b/>
        </w:rPr>
        <w:t xml:space="preserve"> (4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</w:rPr>
        <w:t xml:space="preserve">15. </w:t>
      </w:r>
      <w:r>
        <w:t>Scriptures</w:t>
      </w:r>
    </w:p>
    <w:p>
      <w:pPr>
        <w:ind w:left="259"/>
      </w:pPr>
      <w:r>
        <w:rPr>
          <w:b/>
        </w:rPr>
        <w:t xml:space="preserve">(a) </w:t>
      </w:r>
      <w:r>
        <w:t>Explain the origin and development of Scriptures in the four faiths studied in Grade 10 HRE.</w:t>
      </w:r>
      <w:r>
        <w:rPr>
          <w:b/>
        </w:rPr>
        <w:t xml:space="preserve"> (8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ind w:left="259"/>
      </w:pPr>
      <w:r>
        <w:rPr>
          <w:b/>
        </w:rPr>
        <w:t xml:space="preserve">(b) </w:t>
      </w:r>
      <w:r>
        <w:t>Explain two ways knowledge of Scriptures can influence harmonious coexistence.</w:t>
      </w:r>
      <w:r>
        <w:rPr>
          <w:b/>
        </w:rPr>
        <w:t xml:space="preserve"> (4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</w:rPr>
        <w:t xml:space="preserve">16. </w:t>
      </w:r>
      <w:r>
        <w:t>Ethical and Moral Teachings</w:t>
      </w:r>
    </w:p>
    <w:p>
      <w:pPr>
        <w:ind w:left="259"/>
      </w:pPr>
      <w:r>
        <w:rPr>
          <w:b/>
        </w:rPr>
        <w:t xml:space="preserve">(a) </w:t>
      </w:r>
      <w:r>
        <w:t>Explain four ways ethical and moral teachings from the four faiths can guide learners in real-life situations.</w:t>
      </w:r>
      <w:r>
        <w:rPr>
          <w:b/>
        </w:rPr>
        <w:t xml:space="preserve"> (8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ind w:left="259"/>
      </w:pPr>
      <w:r>
        <w:rPr>
          <w:b/>
        </w:rPr>
        <w:t xml:space="preserve">(b) </w:t>
      </w:r>
      <w:r>
        <w:t>Explain two ways learners can apply these teachings to road safety or other contemporary challenges.</w:t>
      </w:r>
      <w:r>
        <w:rPr>
          <w:b/>
        </w:rPr>
        <w:t xml:space="preserve"> (4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</w:rPr>
        <w:t xml:space="preserve">17. </w:t>
      </w:r>
      <w:r>
        <w:t>Prominent Personalities</w:t>
      </w:r>
    </w:p>
    <w:p>
      <w:pPr>
        <w:ind w:left="259"/>
      </w:pPr>
      <w:r>
        <w:rPr>
          <w:b/>
        </w:rPr>
        <w:t xml:space="preserve">(a) </w:t>
      </w:r>
      <w:r>
        <w:t>Explain four contributions of the prominent personalities studied in the four faiths.</w:t>
      </w:r>
      <w:r>
        <w:rPr>
          <w:b/>
        </w:rPr>
        <w:t xml:space="preserve"> (8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ind w:left="259"/>
      </w:pPr>
      <w:r>
        <w:rPr>
          <w:b/>
        </w:rPr>
        <w:t xml:space="preserve">(b) </w:t>
      </w:r>
      <w:r>
        <w:t>Explain two lessons learners can derive from these personalities for social welfare.</w:t>
      </w:r>
      <w:r>
        <w:rPr>
          <w:b/>
        </w:rPr>
        <w:t xml:space="preserve"> (4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</w:rPr>
        <w:t xml:space="preserve">18. </w:t>
      </w:r>
      <w:r>
        <w:t>Principles of Dharma</w:t>
      </w:r>
    </w:p>
    <w:p>
      <w:pPr>
        <w:ind w:left="259"/>
      </w:pPr>
      <w:r>
        <w:rPr>
          <w:b/>
        </w:rPr>
        <w:t xml:space="preserve">(a) </w:t>
      </w:r>
      <w:r>
        <w:t>Explain four fundamental principles of Dharma taught in the four faiths and their relevance to well-being and happiness.</w:t>
      </w:r>
      <w:r>
        <w:rPr>
          <w:b/>
        </w:rPr>
        <w:t xml:space="preserve"> (8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ind w:left="259"/>
      </w:pPr>
      <w:r>
        <w:rPr>
          <w:b/>
        </w:rPr>
        <w:t xml:space="preserve">(b) </w:t>
      </w:r>
      <w:r>
        <w:t>Explain two ways the Principles of Dharma can help people manage road safety, animal welfare or other social challenges.</w:t>
      </w:r>
      <w:r>
        <w:rPr>
          <w:b/>
        </w:rPr>
        <w:t xml:space="preserve"> (4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</w:rPr>
        <w:t xml:space="preserve">19. </w:t>
      </w:r>
      <w:r>
        <w:t>Law of Karma</w:t>
      </w:r>
    </w:p>
    <w:p>
      <w:pPr>
        <w:ind w:left="259"/>
      </w:pPr>
      <w:r>
        <w:rPr>
          <w:b/>
        </w:rPr>
        <w:t xml:space="preserve">(a) </w:t>
      </w:r>
      <w:r>
        <w:t>Explain four fundamental concepts of the Law of Karma as presented in the curriculum.</w:t>
      </w:r>
      <w:r>
        <w:rPr>
          <w:b/>
        </w:rPr>
        <w:t xml:space="preserve"> (8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ind w:left="259"/>
      </w:pPr>
      <w:r>
        <w:rPr>
          <w:b/>
        </w:rPr>
        <w:t xml:space="preserve">(b) </w:t>
      </w:r>
      <w:r>
        <w:t>Explain two ways understanding Karma can influence behaviour and personal responsibility.</w:t>
      </w:r>
      <w:r>
        <w:rPr>
          <w:b/>
        </w:rPr>
        <w:t xml:space="preserve"> (4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r>
        <w:rPr>
          <w:b/>
        </w:rPr>
        <w:t xml:space="preserve">20. </w:t>
      </w:r>
      <w:r>
        <w:t>Cultural Practices</w:t>
      </w:r>
    </w:p>
    <w:p>
      <w:pPr>
        <w:ind w:left="259"/>
      </w:pPr>
      <w:r>
        <w:rPr>
          <w:b/>
        </w:rPr>
        <w:t xml:space="preserve">(a) </w:t>
      </w:r>
      <w:r>
        <w:t>Explain three ways vocal music, instrumental music and dances can enhance spiritual growth and social cohesion.</w:t>
      </w:r>
      <w:r>
        <w:rPr>
          <w:b/>
        </w:rPr>
        <w:t xml:space="preserve"> (6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ind w:left="259"/>
      </w:pPr>
      <w:r>
        <w:rPr>
          <w:b/>
        </w:rPr>
        <w:t xml:space="preserve">(b) </w:t>
      </w:r>
      <w:r>
        <w:t>Differentiate between folk and classical dances, giving relevant examples from the curriculum.</w:t>
      </w:r>
      <w:r>
        <w:rPr>
          <w:b/>
        </w:rPr>
        <w:t xml:space="preserve"> (4 marks)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spacing w:after="0"/>
      </w:pPr>
      <w:r>
        <w:rPr>
          <w:sz w:val="16"/>
        </w:rPr>
        <w:t>__________________________________________________________________________________________________________</w:t>
      </w:r>
    </w:p>
    <w:p>
      <w:pPr>
        <w:jc w:val="center"/>
      </w:pPr>
      <w:r>
        <w:rPr>
          <w:b/>
        </w:rPr>
        <w:t>END OF QUESTION PAPER</w:t>
      </w:r>
    </w:p>
    <w:sectPr w:rsidR="00FC693F" w:rsidRPr="0006063C" w:rsidSect="00034616">
      <w:headerReference w:type="default" r:id="rId9"/>
      <w:headerReference w:type="first" r:id="rId10"/>
      <w:headerReference w:type="even" r:id="rId11"/>
      <w:footerReference w:type="default" r:id="rId12"/>
      <w:footerReference w:type="first" r:id="rId13"/>
      <w:footerReference w:type="even" r:id="rId14"/>
      <w:pgSz w:w="12240" w:h="15840"/>
      <w:pgMar w:top="792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